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0070C0"/>
          <w:sz w:val="36"/>
          <w:szCs w:val="36"/>
        </w:rPr>
      </w:pPr>
      <w:r>
        <w:rPr>
          <w:rFonts w:asciiTheme="majorEastAsia" w:hAnsiTheme="majorEastAsia" w:eastAsiaTheme="majorEastAsia"/>
          <w:b/>
          <w:color w:val="0070C0"/>
          <w:sz w:val="36"/>
          <w:szCs w:val="36"/>
        </w:rPr>
        <w:t>CCK-8</w:t>
      </w:r>
      <w:r>
        <w:rPr>
          <w:rFonts w:hint="eastAsia" w:asciiTheme="majorEastAsia" w:hAnsiTheme="majorEastAsia" w:eastAsiaTheme="majorEastAsia"/>
          <w:b/>
          <w:color w:val="0070C0"/>
          <w:sz w:val="36"/>
          <w:szCs w:val="36"/>
        </w:rPr>
        <w:t>试剂盒说明书</w:t>
      </w:r>
    </w:p>
    <w:p>
      <w:pPr>
        <w:autoSpaceDE w:val="0"/>
        <w:autoSpaceDN w:val="0"/>
        <w:adjustRightInd w:val="0"/>
        <w:rPr>
          <w:rFonts w:cs="MS-Mincho,Bold" w:asciiTheme="minorEastAsia" w:hAnsiTheme="minorEastAsia" w:eastAsiaTheme="minorEastAsia"/>
          <w:b/>
          <w:bCs/>
          <w:color w:val="0070C0"/>
          <w:kern w:val="0"/>
          <w:sz w:val="20"/>
          <w:szCs w:val="20"/>
        </w:rPr>
      </w:pPr>
      <w:r>
        <w:rPr>
          <w:rFonts w:hint="eastAsia" w:cs="PMingLiU,Bold" w:asciiTheme="minorEastAsia" w:hAnsiTheme="minorEastAsia" w:eastAsiaTheme="minorEastAsia"/>
          <w:b/>
          <w:bCs/>
          <w:color w:val="0070C0"/>
          <w:kern w:val="0"/>
          <w:sz w:val="20"/>
          <w:szCs w:val="20"/>
        </w:rPr>
        <w:t>产</w:t>
      </w:r>
      <w:r>
        <w:rPr>
          <w:rFonts w:hint="eastAsia" w:cs="MS-Mincho,Bold" w:asciiTheme="minorEastAsia" w:hAnsiTheme="minorEastAsia" w:eastAsiaTheme="minorEastAsia"/>
          <w:b/>
          <w:bCs/>
          <w:color w:val="0070C0"/>
          <w:kern w:val="0"/>
          <w:sz w:val="20"/>
          <w:szCs w:val="20"/>
        </w:rPr>
        <w:t>品</w:t>
      </w:r>
      <w:r>
        <w:rPr>
          <w:rFonts w:hint="eastAsia" w:cs="PMingLiU,Bold" w:asciiTheme="minorEastAsia" w:hAnsiTheme="minorEastAsia" w:eastAsiaTheme="minorEastAsia"/>
          <w:b/>
          <w:bCs/>
          <w:color w:val="0070C0"/>
          <w:kern w:val="0"/>
          <w:sz w:val="20"/>
          <w:szCs w:val="20"/>
        </w:rPr>
        <w:t>简</w:t>
      </w:r>
      <w:r>
        <w:rPr>
          <w:rFonts w:hint="eastAsia" w:cs="MS-Mincho,Bold" w:asciiTheme="minorEastAsia" w:hAnsiTheme="minorEastAsia" w:eastAsiaTheme="minorEastAsia"/>
          <w:b/>
          <w:bCs/>
          <w:color w:val="0070C0"/>
          <w:kern w:val="0"/>
          <w:sz w:val="20"/>
          <w:szCs w:val="20"/>
        </w:rPr>
        <w:t>介：</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 xml:space="preserve">    CCK-8（Cell Counting Kit-8）试剂检测细胞活力，可用于细胞增殖和毒性分析，方法简便而准确。其基本原理为：该试剂中的WST-8与MTT类似，在电子载体1-甲氧基PMS的作用下，被细胞线粒体中的脱氢酶还原为具有高度水溶性的橙黄色甲臜染料（Formazan），甲臜的生成量与活细胞的数量和活力成正比，因此可利用这一特性直接进行细胞增殖和毒性分析。</w:t>
      </w:r>
    </w:p>
    <w:p>
      <w:pPr>
        <w:rPr>
          <w:rFonts w:cs="MS-Mincho" w:asciiTheme="minorEastAsia" w:hAnsiTheme="minorEastAsia" w:eastAsiaTheme="minorEastAsia"/>
          <w:b/>
          <w:color w:val="0070C0"/>
          <w:kern w:val="0"/>
          <w:sz w:val="20"/>
          <w:szCs w:val="20"/>
        </w:rPr>
      </w:pPr>
      <w:r>
        <w:rPr>
          <w:rFonts w:hint="eastAsia" w:cs="MS-Mincho" w:asciiTheme="minorEastAsia" w:hAnsiTheme="minorEastAsia" w:eastAsiaTheme="minorEastAsia"/>
          <w:b/>
          <w:color w:val="0070C0"/>
          <w:kern w:val="0"/>
          <w:sz w:val="20"/>
          <w:szCs w:val="20"/>
        </w:rPr>
        <w:t>操作步骤：</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1、使用96孔板，细胞培养和处理完毕。</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2、每100μl细胞培养液加入CCK-8试剂10μl。</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3、培养板放回培养箱，37℃孵育1</w:t>
      </w:r>
      <w:r>
        <w:rPr>
          <w:rFonts w:cs="MS-Mincho" w:asciiTheme="minorEastAsia" w:hAnsiTheme="minorEastAsia" w:eastAsiaTheme="minorEastAsia"/>
          <w:kern w:val="0"/>
          <w:sz w:val="20"/>
          <w:szCs w:val="20"/>
        </w:rPr>
        <w:t>~</w:t>
      </w:r>
      <w:r>
        <w:rPr>
          <w:rFonts w:hint="eastAsia" w:cs="MS-Mincho" w:asciiTheme="minorEastAsia" w:hAnsiTheme="minorEastAsia" w:eastAsiaTheme="minorEastAsia"/>
          <w:kern w:val="0"/>
          <w:sz w:val="20"/>
          <w:szCs w:val="20"/>
        </w:rPr>
        <w:t>4小时。</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4、于450nm处测定OD值。</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5、结果分析将各测试孔的OD值减去对照孔或调零孔OD值。各平行孔的OD值取平均数。</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 xml:space="preserve">        细胞活力％=（加药细胞OD-空白OD）/(对照细胞OD-空白OD)×100％</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6、若使用96孔外的培养板，试剂用量等比例增减。</w:t>
      </w:r>
    </w:p>
    <w:p>
      <w:pPr>
        <w:rPr>
          <w:rFonts w:cs="MS-Mincho" w:asciiTheme="minorEastAsia" w:hAnsiTheme="minorEastAsia" w:eastAsiaTheme="minorEastAsia"/>
          <w:b/>
          <w:color w:val="0070C0"/>
          <w:kern w:val="0"/>
          <w:sz w:val="20"/>
          <w:szCs w:val="20"/>
        </w:rPr>
      </w:pPr>
      <w:r>
        <w:rPr>
          <w:rFonts w:hint="eastAsia" w:cs="MS-Mincho" w:asciiTheme="minorEastAsia" w:hAnsiTheme="minorEastAsia" w:eastAsiaTheme="minorEastAsia"/>
          <w:b/>
          <w:color w:val="0070C0"/>
          <w:kern w:val="0"/>
          <w:sz w:val="20"/>
          <w:szCs w:val="20"/>
        </w:rPr>
        <w:t>注意事项：</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1、首次使用时，建议先做几个孔摸索条件，考察接种细胞的数量和加入CCK-8试剂后的培养时间。</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2、加入试剂速度要快，以避免试剂残留和加样速度不一所致反应时间不同造成的显色误差。有条件的情况下，建议采用多通道移液器，可以减少平行孔间的差异。为避免枪头上的残留所带来的加样误差，CCK-8试剂可在加样前用培养基稀释混匀。</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3、试剂加入后轻轻振摇培养板，使CCK-8试剂与培养基充分混匀。</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4、试剂加入后培养时间根据细胞种类的不同和每孔细胞数量的多少而异。对于贴壁细胞，加入CCK-8的培养时间一般为1</w:t>
      </w:r>
      <w:r>
        <w:rPr>
          <w:rFonts w:cs="MS-Mincho" w:asciiTheme="minorEastAsia" w:hAnsiTheme="minorEastAsia" w:eastAsiaTheme="minorEastAsia"/>
          <w:kern w:val="0"/>
          <w:sz w:val="20"/>
          <w:szCs w:val="20"/>
        </w:rPr>
        <w:t>~</w:t>
      </w:r>
      <w:r>
        <w:rPr>
          <w:rFonts w:hint="eastAsia" w:cs="MS-Mincho" w:asciiTheme="minorEastAsia" w:hAnsiTheme="minorEastAsia" w:eastAsiaTheme="minorEastAsia"/>
          <w:kern w:val="0"/>
          <w:sz w:val="20"/>
          <w:szCs w:val="20"/>
        </w:rPr>
        <w:t>4小时，但在培养30分钟左右即可取出肉眼观察显色程度（根据细胞种类而定）。与贴壁细胞相比，悬浮细胞较难显色。对于悬浮细胞，在加入CCK-8培养1~4小时后，可先从培养箱中取出，目测染色程度或用酶标仪测定决定。白细胞较难显色，因此需要较长的CCK-8反应时间或增加细胞数量（~105个细胞/孔）。若显色困难，可以将培养板放回培养箱，继续培养数小时后再确定；注意：CCK-8的最佳反应时间以具体显色的最佳时间为准。</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5、CCK-8试剂中的WST-8会与还原剂反应生成WST-8甲臜，如果实验中有还原剂，需要检查背景的OD值，即在不含细胞的培养基中加入药物，然后加入CCK-8试剂在一定时间内检测，和不加药物的培养基进行比较（只加CCK-8试剂），如果OD值明显偏高，则说明有反应。</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6、若细胞培养时间较长导致培养基颜色或pH发生变化，建议更换新鲜培养基后再加入CCK-8试剂。含有酚红的培养基不影响本试剂使用。</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7、如果样品为高浑浊度的细胞悬液，建议设定600nm（或600nm以上）作为参比波长，扣除参比波长的OD值即可。</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8、如果要测定细胞的具体数量，需要先做一个标准曲线。</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9、若测得OD值过高，可酌减铺板细胞数或CCK-8试剂用量。</w:t>
      </w:r>
    </w:p>
    <w:p>
      <w:pPr>
        <w:rPr>
          <w:rFonts w:cs="MS-Mincho" w:asciiTheme="minorEastAsia" w:hAnsiTheme="minorEastAsia" w:eastAsiaTheme="minorEastAsia"/>
          <w:b/>
          <w:color w:val="0070C0"/>
          <w:kern w:val="0"/>
          <w:sz w:val="20"/>
          <w:szCs w:val="20"/>
        </w:rPr>
      </w:pPr>
      <w:r>
        <w:rPr>
          <w:rFonts w:hint="eastAsia" w:cs="MS-Mincho" w:asciiTheme="minorEastAsia" w:hAnsiTheme="minorEastAsia" w:eastAsiaTheme="minorEastAsia"/>
          <w:b/>
          <w:color w:val="0070C0"/>
          <w:kern w:val="0"/>
          <w:sz w:val="20"/>
          <w:szCs w:val="20"/>
        </w:rPr>
        <w:t>试剂的优点：</w:t>
      </w:r>
    </w:p>
    <w:p>
      <w:pPr>
        <w:rPr>
          <w:rFonts w:cs="MS-Mincho" w:asciiTheme="minorEastAsia" w:hAnsiTheme="minorEastAsia" w:eastAsiaTheme="minorEastAsia"/>
          <w:b/>
          <w:kern w:val="0"/>
          <w:sz w:val="20"/>
          <w:szCs w:val="20"/>
        </w:rPr>
      </w:pPr>
      <w:r>
        <w:rPr>
          <w:rFonts w:hint="eastAsia" w:cs="MS-Mincho" w:asciiTheme="minorEastAsia" w:hAnsiTheme="minorEastAsia" w:eastAsiaTheme="minorEastAsia"/>
          <w:b/>
          <w:kern w:val="0"/>
          <w:sz w:val="20"/>
          <w:szCs w:val="20"/>
        </w:rPr>
        <w:t>1、结果准确，重现性</w:t>
      </w:r>
      <w:bookmarkStart w:id="0" w:name="_GoBack"/>
      <w:bookmarkEnd w:id="0"/>
      <w:r>
        <w:rPr>
          <w:rFonts w:hint="eastAsia" w:cs="MS-Mincho" w:asciiTheme="minorEastAsia" w:hAnsiTheme="minorEastAsia" w:eastAsiaTheme="minorEastAsia"/>
          <w:b/>
          <w:kern w:val="0"/>
          <w:sz w:val="20"/>
          <w:szCs w:val="20"/>
        </w:rPr>
        <w:t xml:space="preserve">好   </w:t>
      </w:r>
      <w:r>
        <w:rPr>
          <w:rFonts w:hint="eastAsia" w:cs="MS-Mincho" w:asciiTheme="minorEastAsia" w:hAnsiTheme="minorEastAsia" w:eastAsiaTheme="minorEastAsia"/>
          <w:kern w:val="0"/>
          <w:sz w:val="20"/>
          <w:szCs w:val="20"/>
        </w:rPr>
        <w:t>试剂不影响细胞活力，显色产物直接溶解于培养液，直接测定OD值即可， 可准确反应细胞活力。</w:t>
      </w:r>
    </w:p>
    <w:p>
      <w:pPr>
        <w:rPr>
          <w:rFonts w:cs="MS-Mincho" w:asciiTheme="minorEastAsia" w:hAnsiTheme="minorEastAsia" w:eastAsiaTheme="minorEastAsia"/>
          <w:b/>
          <w:kern w:val="0"/>
          <w:sz w:val="20"/>
          <w:szCs w:val="20"/>
        </w:rPr>
      </w:pPr>
      <w:r>
        <w:rPr>
          <w:rFonts w:hint="eastAsia" w:cs="MS-Mincho" w:asciiTheme="minorEastAsia" w:hAnsiTheme="minorEastAsia" w:eastAsiaTheme="minorEastAsia"/>
          <w:b/>
          <w:kern w:val="0"/>
          <w:sz w:val="20"/>
          <w:szCs w:val="20"/>
        </w:rPr>
        <w:t xml:space="preserve">2、操作省时简单   </w:t>
      </w:r>
      <w:r>
        <w:rPr>
          <w:rFonts w:hint="eastAsia" w:cs="MS-Mincho" w:asciiTheme="minorEastAsia" w:hAnsiTheme="minorEastAsia" w:eastAsiaTheme="minorEastAsia"/>
          <w:kern w:val="0"/>
          <w:sz w:val="20"/>
          <w:szCs w:val="20"/>
        </w:rPr>
        <w:t>试剂即开即用，无需配制；只需一步操作，即可测定。</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b/>
          <w:kern w:val="0"/>
          <w:sz w:val="20"/>
          <w:szCs w:val="20"/>
        </w:rPr>
        <w:t>3、安全性好</w:t>
      </w:r>
      <w:r>
        <w:rPr>
          <w:rFonts w:hint="eastAsia" w:cs="MS-Mincho" w:asciiTheme="minorEastAsia" w:hAnsiTheme="minorEastAsia" w:eastAsiaTheme="minorEastAsia"/>
          <w:kern w:val="0"/>
          <w:sz w:val="20"/>
          <w:szCs w:val="20"/>
        </w:rPr>
        <w:t xml:space="preserve">   不含放射性同位素和有害有机溶剂，使用安全。</w:t>
      </w:r>
    </w:p>
    <w:p>
      <w:pPr>
        <w:rPr>
          <w:rFonts w:cs="MS-Mincho" w:asciiTheme="minorEastAsia" w:hAnsiTheme="minorEastAsia" w:eastAsiaTheme="minorEastAsia"/>
          <w:kern w:val="0"/>
          <w:sz w:val="20"/>
          <w:szCs w:val="20"/>
        </w:rPr>
      </w:pPr>
      <w:r>
        <w:rPr>
          <w:rFonts w:hint="eastAsia" w:cs="MS-Mincho" w:asciiTheme="minorEastAsia" w:hAnsiTheme="minorEastAsia" w:eastAsiaTheme="minorEastAsia"/>
          <w:b/>
          <w:kern w:val="0"/>
          <w:sz w:val="20"/>
          <w:szCs w:val="20"/>
        </w:rPr>
        <w:t>4、灵敏度高</w:t>
      </w:r>
      <w:r>
        <w:rPr>
          <w:rFonts w:hint="eastAsia" w:cs="MS-Mincho" w:asciiTheme="minorEastAsia" w:hAnsiTheme="minorEastAsia" w:eastAsiaTheme="minorEastAsia"/>
          <w:kern w:val="0"/>
          <w:sz w:val="20"/>
          <w:szCs w:val="20"/>
        </w:rPr>
        <w:t xml:space="preserve">   灵敏度高于MTT、XTT和MTS等方法。</w:t>
      </w:r>
    </w:p>
    <w:p>
      <w:pPr>
        <w:rPr>
          <w:rFonts w:cs="MS-Mincho" w:asciiTheme="minorEastAsia" w:hAnsiTheme="minorEastAsia" w:eastAsiaTheme="minorEastAsia"/>
          <w:b/>
          <w:color w:val="0070C0"/>
          <w:kern w:val="0"/>
          <w:sz w:val="20"/>
          <w:szCs w:val="20"/>
        </w:rPr>
      </w:pPr>
      <w:r>
        <w:rPr>
          <w:rFonts w:hint="eastAsia" w:cs="MS-Mincho" w:asciiTheme="minorEastAsia" w:hAnsiTheme="minorEastAsia" w:eastAsiaTheme="minorEastAsia"/>
          <w:b/>
          <w:color w:val="0070C0"/>
          <w:kern w:val="0"/>
          <w:sz w:val="20"/>
          <w:szCs w:val="20"/>
        </w:rPr>
        <w:t>贮藏条件：</w:t>
      </w:r>
    </w:p>
    <w:p>
      <w:pPr>
        <w:ind w:firstLine="400"/>
        <w:rPr>
          <w:rFonts w:hint="eastAsia" w:cs="MS-Mincho" w:asciiTheme="minorEastAsia" w:hAnsiTheme="minorEastAsia" w:eastAsiaTheme="minorEastAsia"/>
          <w:kern w:val="0"/>
          <w:sz w:val="20"/>
          <w:szCs w:val="20"/>
        </w:rPr>
      </w:pPr>
      <w:r>
        <w:rPr>
          <w:rFonts w:hint="eastAsia" w:cs="MS-Mincho" w:asciiTheme="minorEastAsia" w:hAnsiTheme="minorEastAsia" w:eastAsiaTheme="minorEastAsia"/>
          <w:kern w:val="0"/>
          <w:sz w:val="20"/>
          <w:szCs w:val="20"/>
        </w:rPr>
        <w:t>在避光0-5℃的条件下存放一年，测定效果完全不变。在-20℃的条件下可以贮存更久。反复冻融会增加背景值，经常使用时请于0~5℃条件下保存。</w:t>
      </w:r>
    </w:p>
    <w:p>
      <w:pPr>
        <w:ind w:firstLine="40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b/>
          <w:bCs/>
          <w:color w:val="000000"/>
          <w:kern w:val="0"/>
          <w:sz w:val="20"/>
          <w:szCs w:val="20"/>
        </w:rPr>
        <w:t>本产品仅供科研使用，不做其它用途。</w:t>
      </w:r>
    </w:p>
    <w:sectPr>
      <w:headerReference r:id="rId3" w:type="default"/>
      <w:footerReference r:id="rId4" w:type="default"/>
      <w:pgSz w:w="11906" w:h="16838"/>
      <w:pgMar w:top="567" w:right="1021" w:bottom="680" w:left="1021" w:header="680"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Mincho,Bold">
    <w:altName w:val="MS Mincho"/>
    <w:panose1 w:val="00000000000000000000"/>
    <w:charset w:val="80"/>
    <w:family w:val="auto"/>
    <w:pitch w:val="default"/>
    <w:sig w:usb0="00000000" w:usb1="00000000" w:usb2="00000010" w:usb3="00000000" w:csb0="00020000" w:csb1="00000000"/>
  </w:font>
  <w:font w:name="PMingLiU,Bold">
    <w:altName w:val="MingLiU"/>
    <w:panose1 w:val="00000000000000000000"/>
    <w:charset w:val="88"/>
    <w:family w:val="auto"/>
    <w:pitch w:val="default"/>
    <w:sig w:usb0="00000000" w:usb1="00000000" w:usb2="00000010" w:usb3="00000000" w:csb0="00100000" w:csb1="00000000"/>
  </w:font>
  <w:font w:name="MS-Mincho">
    <w:altName w:val="MS Mincho"/>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pict>
        <v:shape id="_x0000_s3076" o:spid="_x0000_s3076" o:spt="32" type="#_x0000_t32" style="position:absolute;left:0pt;margin-left:-77.5pt;margin-top:-4.85pt;height:0pt;width:644.3pt;z-index:251661312;mso-width-relative:page;mso-height-relative:page;" o:connectortype="straight" filled="f" stroked="t" coordsize="21600,21600">
          <v:path arrowok="t"/>
          <v:fill on="f" focussize="0,0"/>
          <v:stroke weight="3pt" color="#0070C0"/>
          <v:imagedata o:title=""/>
          <o:lock v:ext="edit"/>
        </v:shape>
      </w:pict>
    </w:r>
    <w:r>
      <w:drawing>
        <wp:inline distT="0" distB="0" distL="0" distR="0">
          <wp:extent cx="2765425" cy="751840"/>
          <wp:effectExtent l="0" t="0" r="3175" b="10160"/>
          <wp:docPr id="2" name="图片 2" descr="C:\Users\dell\Desktop\页尾.png页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Desktop\页尾.png页尾"/>
                  <pic:cNvPicPr>
                    <a:picLocks noChangeAspect="1" noChangeArrowheads="1"/>
                  </pic:cNvPicPr>
                </pic:nvPicPr>
                <pic:blipFill>
                  <a:blip r:embed="rId1"/>
                  <a:srcRect/>
                  <a:stretch>
                    <a:fillRect/>
                  </a:stretch>
                </pic:blipFill>
                <pic:spPr>
                  <a:xfrm>
                    <a:off x="0" y="0"/>
                    <a:ext cx="2767590" cy="75184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pict>
        <v:shape id="_x0000_s3077" o:spid="_x0000_s3077" o:spt="32" type="#_x0000_t32" style="position:absolute;left:0pt;margin-left:485.3pt;margin-top:38pt;height:0pt;width:31.45pt;z-index:251662336;mso-width-relative:page;mso-height-relative:page;" o:connectortype="straight" filled="f" stroked="t" coordsize="21600,21600">
          <v:path arrowok="t"/>
          <v:fill on="f" focussize="0,0"/>
          <v:stroke weight="2pt" color="#FFFFFF [3212]"/>
          <v:imagedata o:title=""/>
          <o:lock v:ext="edit"/>
        </v:shape>
      </w:pict>
    </w:r>
    <w:r>
      <w:pict>
        <v:shape id="_x0000_s3073" o:spid="_x0000_s3073" o:spt="32" type="#_x0000_t32" style="position:absolute;left:0pt;margin-left:105pt;margin-top:19pt;height:0.05pt;width:451.85pt;z-index:251660288;mso-width-relative:page;mso-height-relative:page;" o:connectortype="straight" filled="f" stroked="t" coordsize="21600,21600">
          <v:path arrowok="t"/>
          <v:fill on="f" focussize="0,0"/>
          <v:stroke weight="15pt" color="#0070C0"/>
          <v:imagedata o:title=""/>
          <o:lock v:ext="edit"/>
        </v:shape>
      </w:pict>
    </w:r>
    <w:r>
      <w:pict>
        <v:shape id="_x0000_s3074" o:spid="_x0000_s3074" o:spt="32" type="#_x0000_t32" style="position:absolute;left:0pt;margin-left:-103pt;margin-top:19pt;height:0.05pt;width:100pt;z-index:251659264;mso-width-relative:page;mso-height-relative:page;" o:connectortype="straight" filled="f" stroked="t" coordsize="21600,21600">
          <v:path arrowok="t"/>
          <v:fill on="f" focussize="0,0"/>
          <v:stroke weight="15pt" color="#0070C0"/>
          <v:imagedata o:title=""/>
          <o:lock v:ext="edit"/>
        </v:shape>
      </w:pict>
    </w:r>
    <w:r>
      <w:pict>
        <v:shape id="_x0000_s3075" o:spid="_x0000_s3075" o:spt="32" type="#_x0000_t32" style="position:absolute;left:0pt;margin-left:-15.7pt;margin-top:38pt;height:0.05pt;width:501pt;z-index:251658240;mso-width-relative:page;mso-height-relative:page;" o:connectortype="straight" filled="f" stroked="t" coordsize="21600,21600">
          <v:path arrowok="t"/>
          <v:fill on="f" focussize="0,0"/>
          <v:stroke weight="3pt" color="#FFFFFF [3212]"/>
          <v:imagedata o:title=""/>
          <o:lock v:ext="edit"/>
        </v:shape>
      </w:pict>
    </w:r>
    <w:r>
      <w:drawing>
        <wp:inline distT="0" distB="0" distL="0" distR="0">
          <wp:extent cx="1320165" cy="467995"/>
          <wp:effectExtent l="19050" t="0" r="0" b="0"/>
          <wp:docPr id="1" name="图片 1" descr="C:\Users\dell\Desktop\页眉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页眉_副本.jpg"/>
                  <pic:cNvPicPr>
                    <a:picLocks noChangeAspect="1" noChangeArrowheads="1"/>
                  </pic:cNvPicPr>
                </pic:nvPicPr>
                <pic:blipFill>
                  <a:blip r:embed="rId1"/>
                  <a:stretch>
                    <a:fillRect/>
                  </a:stretch>
                </pic:blipFill>
                <pic:spPr>
                  <a:xfrm>
                    <a:off x="0" y="0"/>
                    <a:ext cx="1320558" cy="4680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3"/>
        <o:r id="V:Rule2" type="connector" idref="#_x0000_s3074"/>
        <o:r id="V:Rule3" type="connector" idref="#_x0000_s3075"/>
        <o:r id="V:Rule4" type="connector" idref="#_x0000_s3076"/>
        <o:r id="V:Rule5" type="connector" idref="#_x0000_s307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F27E8"/>
    <w:rsid w:val="0003458F"/>
    <w:rsid w:val="0003532A"/>
    <w:rsid w:val="00052F64"/>
    <w:rsid w:val="000549AF"/>
    <w:rsid w:val="000558AA"/>
    <w:rsid w:val="00055AC7"/>
    <w:rsid w:val="00063140"/>
    <w:rsid w:val="00065117"/>
    <w:rsid w:val="000B082A"/>
    <w:rsid w:val="000D2C89"/>
    <w:rsid w:val="000D6D56"/>
    <w:rsid w:val="001328D0"/>
    <w:rsid w:val="001424A6"/>
    <w:rsid w:val="00183072"/>
    <w:rsid w:val="001954F9"/>
    <w:rsid w:val="001C1A08"/>
    <w:rsid w:val="001C20CE"/>
    <w:rsid w:val="001C2CD2"/>
    <w:rsid w:val="001F30EE"/>
    <w:rsid w:val="00202D76"/>
    <w:rsid w:val="00296C35"/>
    <w:rsid w:val="002A0381"/>
    <w:rsid w:val="002B578D"/>
    <w:rsid w:val="003453E0"/>
    <w:rsid w:val="00357787"/>
    <w:rsid w:val="003E56BB"/>
    <w:rsid w:val="00422DAF"/>
    <w:rsid w:val="00436E60"/>
    <w:rsid w:val="0044327E"/>
    <w:rsid w:val="00446AE0"/>
    <w:rsid w:val="004628EC"/>
    <w:rsid w:val="00467E95"/>
    <w:rsid w:val="0048259C"/>
    <w:rsid w:val="0049146B"/>
    <w:rsid w:val="004A3DB8"/>
    <w:rsid w:val="004B0FA8"/>
    <w:rsid w:val="004C5024"/>
    <w:rsid w:val="004E4583"/>
    <w:rsid w:val="004E59A6"/>
    <w:rsid w:val="005331BE"/>
    <w:rsid w:val="00590ACE"/>
    <w:rsid w:val="005D7EFC"/>
    <w:rsid w:val="00615467"/>
    <w:rsid w:val="00625920"/>
    <w:rsid w:val="006512B7"/>
    <w:rsid w:val="006F27E8"/>
    <w:rsid w:val="00704217"/>
    <w:rsid w:val="0070559C"/>
    <w:rsid w:val="007058CE"/>
    <w:rsid w:val="00722C7F"/>
    <w:rsid w:val="0075018C"/>
    <w:rsid w:val="007A6555"/>
    <w:rsid w:val="007C33E1"/>
    <w:rsid w:val="0082333E"/>
    <w:rsid w:val="00826B39"/>
    <w:rsid w:val="008576BC"/>
    <w:rsid w:val="00872421"/>
    <w:rsid w:val="0088752D"/>
    <w:rsid w:val="0092386A"/>
    <w:rsid w:val="009335D7"/>
    <w:rsid w:val="00994B55"/>
    <w:rsid w:val="009B4B4D"/>
    <w:rsid w:val="009D3147"/>
    <w:rsid w:val="00A1120A"/>
    <w:rsid w:val="00A21619"/>
    <w:rsid w:val="00A36B3F"/>
    <w:rsid w:val="00A77503"/>
    <w:rsid w:val="00AB5772"/>
    <w:rsid w:val="00B03216"/>
    <w:rsid w:val="00B057FC"/>
    <w:rsid w:val="00B26010"/>
    <w:rsid w:val="00B3088A"/>
    <w:rsid w:val="00B33E80"/>
    <w:rsid w:val="00B52F7B"/>
    <w:rsid w:val="00B62F5B"/>
    <w:rsid w:val="00B645A0"/>
    <w:rsid w:val="00BA4849"/>
    <w:rsid w:val="00BC6477"/>
    <w:rsid w:val="00BD0102"/>
    <w:rsid w:val="00BD759B"/>
    <w:rsid w:val="00BF2020"/>
    <w:rsid w:val="00C268FE"/>
    <w:rsid w:val="00C535D4"/>
    <w:rsid w:val="00C5663E"/>
    <w:rsid w:val="00CA2F1C"/>
    <w:rsid w:val="00CA6C19"/>
    <w:rsid w:val="00CF7896"/>
    <w:rsid w:val="00D14DE2"/>
    <w:rsid w:val="00D6410B"/>
    <w:rsid w:val="00D761F2"/>
    <w:rsid w:val="00D82879"/>
    <w:rsid w:val="00DC0EAA"/>
    <w:rsid w:val="00DE66D0"/>
    <w:rsid w:val="00DF0CEF"/>
    <w:rsid w:val="00E21544"/>
    <w:rsid w:val="00E96DE4"/>
    <w:rsid w:val="00EF4D48"/>
    <w:rsid w:val="00F0483E"/>
    <w:rsid w:val="00FE59C5"/>
    <w:rsid w:val="00FF5050"/>
    <w:rsid w:val="0DDA6A04"/>
    <w:rsid w:val="12973CD0"/>
    <w:rsid w:val="298E57DF"/>
    <w:rsid w:val="2F0253F9"/>
    <w:rsid w:val="39684E2F"/>
    <w:rsid w:val="39967139"/>
    <w:rsid w:val="489B3DE7"/>
    <w:rsid w:val="56546B07"/>
    <w:rsid w:val="675D1A86"/>
    <w:rsid w:val="67932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rFonts w:asciiTheme="minorHAnsi" w:hAnsiTheme="minorHAnsi" w:eastAsiaTheme="minorEastAsia" w:cstheme="minorBidi"/>
      <w:sz w:val="18"/>
      <w:szCs w:val="18"/>
    </w:r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批注框文本 Char"/>
    <w:basedOn w:val="5"/>
    <w:link w:val="2"/>
    <w:semiHidden/>
    <w:qFormat/>
    <w:uiPriority w:val="99"/>
    <w:rPr>
      <w:sz w:val="18"/>
      <w:szCs w:val="18"/>
    </w:rPr>
  </w:style>
  <w:style w:type="paragraph" w:styleId="11">
    <w:name w:val="List Paragraph"/>
    <w:basedOn w:val="1"/>
    <w:qFormat/>
    <w:uiPriority w:val="99"/>
    <w:pPr>
      <w:ind w:firstLine="420" w:firstLine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7"/>
    <customShpInfo spid="_x0000_s3073"/>
    <customShpInfo spid="_x0000_s3074"/>
    <customShpInfo spid="_x0000_s3075"/>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590EA0-D145-4F0E-ACDA-B0651B71E87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215</Words>
  <Characters>1227</Characters>
  <Lines>10</Lines>
  <Paragraphs>2</Paragraphs>
  <TotalTime>165</TotalTime>
  <ScaleCrop>false</ScaleCrop>
  <LinksUpToDate>false</LinksUpToDate>
  <CharactersWithSpaces>1440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2018-09-05T02:31:00Z</dcterms:created>
  <dc:creator>dell</dc:creator>
  <cp:lastModifiedBy>dell</cp:lastModifiedBy>
  <cp:lastPrinted>2018-09-06T01:22:00Z</cp:lastPrinted>
  <dcterms:modified xsi:type="dcterms:W3CDTF">2019-01-24T03:59:24Z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